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w:t>
      </w:r>
      <w:r>
        <w:rPr>
          <w:rFonts w:hint="eastAsia" w:eastAsia="宋体"/>
          <w:sz w:val="24"/>
          <w:szCs w:val="24"/>
          <w:lang w:val="en-US" w:eastAsia="zh-CN"/>
        </w:rPr>
        <w:t>100</w:t>
      </w:r>
      <w:r>
        <w:rPr>
          <w:sz w:val="24"/>
          <w:szCs w:val="24"/>
        </w:rPr>
        <w:t xml:space="preserve">e </w:t>
      </w:r>
      <w:r>
        <w:rPr>
          <w:sz w:val="24"/>
          <w:szCs w:val="24"/>
        </w:rPr>
        <w:tab/>
      </w:r>
      <w:r>
        <w:rPr>
          <w:rFonts w:hint="eastAsia"/>
          <w:sz w:val="24"/>
          <w:szCs w:val="24"/>
          <w:highlight w:val="none"/>
        </w:rPr>
        <w:t>S1-22</w:t>
      </w:r>
      <w:r>
        <w:rPr>
          <w:rFonts w:hint="eastAsia" w:eastAsia="宋体"/>
          <w:sz w:val="24"/>
          <w:szCs w:val="24"/>
          <w:highlight w:val="none"/>
          <w:lang w:val="en-US" w:eastAsia="zh-CN"/>
        </w:rPr>
        <w:t>3729</w:t>
      </w:r>
      <w:bookmarkStart w:id="48" w:name="_GoBack"/>
      <w:bookmarkEnd w:id="48"/>
    </w:p>
    <w:p>
      <w:pPr>
        <w:pStyle w:val="25"/>
        <w:pBdr>
          <w:bottom w:val="single" w:color="auto" w:sz="4" w:space="1"/>
        </w:pBdr>
        <w:tabs>
          <w:tab w:val="right" w:pos="9638"/>
        </w:tabs>
        <w:rPr>
          <w:rFonts w:hint="eastAsia" w:eastAsia="宋体" w:cs="Arial"/>
          <w:sz w:val="20"/>
          <w:lang w:val="en-US" w:eastAsia="zh-CN"/>
        </w:rPr>
      </w:pPr>
      <w:r>
        <w:rPr>
          <w:rFonts w:hint="eastAsia"/>
          <w:sz w:val="24"/>
          <w:szCs w:val="24"/>
        </w:rPr>
        <w:t>Toulouse</w:t>
      </w:r>
      <w:r>
        <w:rPr>
          <w:rFonts w:hint="eastAsia" w:eastAsia="宋体"/>
          <w:sz w:val="24"/>
          <w:szCs w:val="24"/>
          <w:lang w:val="en-US" w:eastAsia="zh-CN"/>
        </w:rPr>
        <w:t>, France</w:t>
      </w:r>
      <w:r>
        <w:rPr>
          <w:sz w:val="24"/>
          <w:szCs w:val="24"/>
        </w:rPr>
        <w:t xml:space="preserve">, </w:t>
      </w:r>
      <w:r>
        <w:rPr>
          <w:rFonts w:hint="eastAsia" w:eastAsia="宋体"/>
          <w:sz w:val="24"/>
          <w:szCs w:val="24"/>
          <w:lang w:val="en-US" w:eastAsia="zh-CN"/>
        </w:rPr>
        <w:t>14 Nov - 18 Nov 2022</w:t>
      </w:r>
      <w:r>
        <w:rPr>
          <w:sz w:val="20"/>
        </w:rPr>
        <w:tab/>
      </w:r>
      <w:r>
        <w:rPr>
          <w:rFonts w:hint="eastAsia"/>
          <w:sz w:val="20"/>
        </w:rPr>
        <w:t xml:space="preserve">(revision of </w:t>
      </w:r>
      <w:bookmarkStart w:id="0" w:name="OLE_LINK4"/>
      <w:r>
        <w:rPr>
          <w:rFonts w:hint="eastAsia"/>
          <w:sz w:val="20"/>
        </w:rPr>
        <w:t>S1-22</w:t>
      </w:r>
      <w:bookmarkEnd w:id="0"/>
      <w:r>
        <w:rPr>
          <w:rFonts w:hint="eastAsia"/>
          <w:sz w:val="20"/>
        </w:rPr>
        <w:t>3155</w:t>
      </w:r>
      <w:r>
        <w:rPr>
          <w:rFonts w:hint="eastAsia" w:eastAsia="宋体"/>
          <w:sz w:val="20"/>
          <w:lang w:val="en-US" w:eastAsia="zh-CN"/>
        </w:rPr>
        <w:t xml:space="preserve">, </w:t>
      </w:r>
      <w:r>
        <w:rPr>
          <w:rFonts w:hint="eastAsia"/>
          <w:sz w:val="20"/>
        </w:rPr>
        <w:t>S1-223315)</w:t>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3"/>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bookmarkEnd w:id="1"/>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2" w:name="OLE_LINK1"/>
      <w:r>
        <w:t>TS22.104</w:t>
      </w:r>
      <w:bookmarkEnd w:id="2"/>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could benefit from the 5GS support of sub-millisecond fault detection. For example, it could be that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3" w:name="_Hlk83140593"/>
      <w:r>
        <w:rPr>
          <w:rFonts w:ascii="Times New Roman" w:hAnsi="Times New Roman" w:eastAsia="Times New Roman" w:cs="Times New Roman"/>
          <w:b w:val="0"/>
          <w:i/>
          <w:lang w:val="en-GB" w:eastAsia="ja-JP" w:bidi="ar-SA"/>
        </w:rPr>
        <w:t>.4</w:t>
      </w:r>
      <w:bookmarkEnd w:id="3"/>
      <w:bookmarkStart w:id="4" w:name="_Hlk83140594"/>
      <w:r>
        <w:rPr>
          <w:rFonts w:ascii="Times New Roman" w:hAnsi="Times New Roman" w:eastAsia="Times New Roman" w:cs="Times New Roman"/>
          <w:b w:val="0"/>
          <w:i/>
          <w:lang w:val="en-GB" w:eastAsia="ja-JP" w:bidi="ar-SA"/>
        </w:rPr>
        <w:t>-</w:t>
      </w:r>
      <w:bookmarkEnd w:id="4"/>
      <w:bookmarkStart w:id="5" w:name="_Hlk83140595"/>
      <w:r>
        <w:rPr>
          <w:rFonts w:ascii="Times New Roman" w:hAnsi="Times New Roman" w:eastAsia="Times New Roman" w:cs="Times New Roman"/>
          <w:b w:val="0"/>
          <w:i/>
          <w:lang w:val="en-GB" w:eastAsia="ja-JP" w:bidi="ar-SA"/>
        </w:rPr>
        <w:t>1</w:t>
      </w:r>
      <w:bookmarkEnd w:id="5"/>
      <w:bookmarkStart w:id="6" w:name="_Hlk83140596"/>
      <w:r>
        <w:rPr>
          <w:rFonts w:ascii="Times New Roman" w:hAnsi="Times New Roman" w:eastAsia="Times New Roman" w:cs="Times New Roman"/>
          <w:b w:val="0"/>
          <w:i/>
          <w:lang w:val="en-GB" w:eastAsia="ja-JP" w:bidi="ar-SA"/>
        </w:rPr>
        <w:t>:</w:t>
      </w:r>
      <w:bookmarkEnd w:id="6"/>
      <w:bookmarkStart w:id="7" w:name="_Hlk83140597"/>
      <w:r>
        <w:rPr>
          <w:rFonts w:ascii="Times New Roman" w:hAnsi="Times New Roman" w:eastAsia="Times New Roman" w:cs="Times New Roman"/>
          <w:b w:val="0"/>
          <w:i/>
          <w:lang w:val="en-GB" w:eastAsia="ja-JP" w:bidi="ar-SA"/>
        </w:rPr>
        <w:t xml:space="preserve"> KPIs for high speed current differential protection</w:t>
      </w:r>
      <w:bookmarkEnd w:id="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8"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8"/>
    </w:tbl>
    <w:p>
      <w:pPr>
        <w:rPr>
          <w:rFonts w:ascii="Times New Roman" w:hAnsi="Times New Roman" w:eastAsia="Times New Roman" w:cs="Times New Roman"/>
          <w:i/>
          <w:lang w:eastAsia="en-GB"/>
        </w:rPr>
      </w:pPr>
      <w:bookmarkStart w:id="9"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9"/>
      <w:bookmarkStart w:id="10" w:name="_Hlk83140600"/>
      <w:r>
        <w:rPr>
          <w:rFonts w:ascii="Times New Roman" w:hAnsi="Times New Roman" w:eastAsia="Times New Roman" w:cs="Times New Roman"/>
          <w:highlight w:val="none"/>
          <w:lang w:eastAsia="en-GB"/>
        </w:rPr>
        <w:t>-</w:t>
      </w:r>
      <w:bookmarkEnd w:id="10"/>
      <w:bookmarkStart w:id="11" w:name="_Hlk83140601"/>
      <w:r>
        <w:rPr>
          <w:rFonts w:ascii="Times New Roman" w:hAnsi="Times New Roman" w:eastAsia="Times New Roman" w:cs="Times New Roman"/>
          <w:highlight w:val="none"/>
          <w:lang w:eastAsia="en-GB"/>
        </w:rPr>
        <w:t xml:space="preserve">speed current differential protection </w:t>
      </w:r>
      <w:bookmarkEnd w:id="11"/>
      <w:bookmarkStart w:id="12" w:name="_Hlk83140602"/>
      <w:r>
        <w:rPr>
          <w:rFonts w:ascii="Times New Roman" w:hAnsi="Times New Roman" w:eastAsia="Times New Roman" w:cs="Times New Roman"/>
          <w:highlight w:val="none"/>
          <w:lang w:eastAsia="en-GB"/>
        </w:rPr>
        <w:t xml:space="preserve">with </w:t>
      </w:r>
      <w:bookmarkEnd w:id="12"/>
      <w:bookmarkStart w:id="13" w:name="_Hlk83140603"/>
      <w:r>
        <w:rPr>
          <w:rFonts w:ascii="Times New Roman" w:hAnsi="Times New Roman" w:eastAsia="Times New Roman" w:cs="Times New Roman"/>
          <w:highlight w:val="none"/>
          <w:lang w:eastAsia="en-GB"/>
        </w:rPr>
        <w:t xml:space="preserve">a </w:t>
      </w:r>
      <w:bookmarkEnd w:id="13"/>
      <w:bookmarkStart w:id="14" w:name="_Hlk83140604"/>
      <w:r>
        <w:rPr>
          <w:rFonts w:ascii="Times New Roman" w:hAnsi="Times New Roman" w:eastAsia="Calibri" w:cs="Times New Roman"/>
          <w:highlight w:val="none"/>
          <w:lang w:eastAsia="en-GB"/>
        </w:rPr>
        <w:t>sampling rate of 1200 Hz for legacy system</w:t>
      </w:r>
      <w:bookmarkEnd w:id="14"/>
      <w:bookmarkStart w:id="15" w:name="_Hlk83140605"/>
      <w:r>
        <w:rPr>
          <w:rFonts w:ascii="Times New Roman" w:hAnsi="Times New Roman" w:eastAsia="Calibri" w:cs="Times New Roman"/>
          <w:highlight w:val="none"/>
          <w:lang w:eastAsia="en-GB"/>
        </w:rPr>
        <w:t>s</w:t>
      </w:r>
      <w:bookmarkEnd w:id="15"/>
      <w:bookmarkStart w:id="16" w:name="_Hlk83140606"/>
      <w:r>
        <w:rPr>
          <w:rFonts w:ascii="Times New Roman" w:hAnsi="Times New Roman" w:eastAsia="Calibri" w:cs="Times New Roman"/>
          <w:highlight w:val="none"/>
          <w:lang w:eastAsia="en-GB"/>
        </w:rPr>
        <w:t>.</w:t>
      </w:r>
      <w:bookmarkEnd w:id="16"/>
      <w:bookmarkStart w:id="17"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7"/>
      <w:bookmarkStart w:id="18" w:name="_Hlk83140608"/>
      <w:r>
        <w:rPr>
          <w:rFonts w:ascii="Times New Roman" w:hAnsi="Times New Roman" w:eastAsia="Times New Roman" w:cs="Times New Roman"/>
          <w:i/>
          <w:lang w:eastAsia="en-GB"/>
        </w:rPr>
        <w:t>2</w:t>
      </w:r>
      <w:bookmarkEnd w:id="18"/>
      <w:bookmarkStart w:id="19"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9"/>
      <w:bookmarkStart w:id="20" w:name="_Hlk83140610"/>
      <w:r>
        <w:rPr>
          <w:rFonts w:ascii="Times New Roman" w:hAnsi="Times New Roman" w:eastAsia="Times New Roman" w:cs="Times New Roman"/>
          <w:lang w:eastAsia="en-GB"/>
        </w:rPr>
        <w:t>-</w:t>
      </w:r>
      <w:bookmarkEnd w:id="20"/>
      <w:bookmarkStart w:id="21" w:name="_Hlk83140611"/>
      <w:r>
        <w:rPr>
          <w:rFonts w:ascii="Times New Roman" w:hAnsi="Times New Roman" w:eastAsia="Times New Roman" w:cs="Times New Roman"/>
          <w:lang w:eastAsia="en-GB"/>
        </w:rPr>
        <w:t xml:space="preserve">speed current differential protection </w:t>
      </w:r>
      <w:bookmarkEnd w:id="21"/>
      <w:bookmarkStart w:id="22" w:name="_Hlk83140612"/>
      <w:r>
        <w:rPr>
          <w:rFonts w:ascii="Times New Roman" w:hAnsi="Times New Roman" w:eastAsia="Times New Roman" w:cs="Times New Roman"/>
          <w:lang w:eastAsia="en-GB"/>
        </w:rPr>
        <w:t xml:space="preserve">with </w:t>
      </w:r>
      <w:bookmarkEnd w:id="22"/>
      <w:bookmarkStart w:id="23" w:name="_Hlk83140613"/>
      <w:r>
        <w:rPr>
          <w:rFonts w:ascii="Times New Roman" w:hAnsi="Times New Roman" w:eastAsia="Times New Roman" w:cs="Times New Roman"/>
          <w:lang w:eastAsia="en-GB"/>
        </w:rPr>
        <w:t xml:space="preserve">a </w:t>
      </w:r>
      <w:bookmarkEnd w:id="23"/>
      <w:bookmarkStart w:id="24" w:name="_Hlk83140614"/>
      <w:r>
        <w:rPr>
          <w:rFonts w:ascii="Times New Roman" w:hAnsi="Times New Roman" w:eastAsia="Calibri" w:cs="Times New Roman"/>
          <w:lang w:eastAsia="en-GB"/>
        </w:rPr>
        <w:t>sampling rate of 600 Hz for legacy system</w:t>
      </w:r>
      <w:bookmarkEnd w:id="24"/>
      <w:bookmarkStart w:id="25" w:name="_Hlk83140615"/>
      <w:r>
        <w:rPr>
          <w:rFonts w:ascii="Times New Roman" w:hAnsi="Times New Roman" w:eastAsia="Calibri" w:cs="Times New Roman"/>
          <w:lang w:eastAsia="en-GB"/>
        </w:rPr>
        <w:t>s</w:t>
      </w:r>
      <w:bookmarkEnd w:id="25"/>
      <w:bookmarkStart w:id="26"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6"/>
      <w:bookmarkStart w:id="27" w:name="_Hlk83140617"/>
      <w:r>
        <w:rPr>
          <w:rFonts w:ascii="Times New Roman" w:hAnsi="Times New Roman" w:eastAsia="Times New Roman" w:cs="Times New Roman"/>
          <w:lang w:eastAsia="en-GB"/>
        </w:rPr>
        <w:t>-</w:t>
      </w:r>
      <w:bookmarkEnd w:id="27"/>
      <w:bookmarkStart w:id="28" w:name="_Hlk83140618"/>
      <w:r>
        <w:rPr>
          <w:rFonts w:ascii="Times New Roman" w:hAnsi="Times New Roman" w:eastAsia="Times New Roman" w:cs="Times New Roman"/>
          <w:lang w:eastAsia="en-GB"/>
        </w:rPr>
        <w:t xml:space="preserve">speed current differential protection with </w:t>
      </w:r>
      <w:bookmarkEnd w:id="28"/>
      <w:bookmarkStart w:id="29" w:name="_Hlk83140619"/>
      <w:r>
        <w:rPr>
          <w:rFonts w:ascii="Times New Roman" w:hAnsi="Times New Roman" w:eastAsia="Times New Roman" w:cs="Times New Roman"/>
          <w:lang w:eastAsia="en-GB"/>
        </w:rPr>
        <w:t xml:space="preserve">a </w:t>
      </w:r>
      <w:bookmarkEnd w:id="29"/>
      <w:bookmarkStart w:id="30" w:name="_Hlk83140620"/>
      <w:r>
        <w:rPr>
          <w:rFonts w:ascii="Times New Roman" w:hAnsi="Times New Roman" w:eastAsia="Calibri" w:cs="Times New Roman"/>
          <w:lang w:eastAsia="en-GB"/>
        </w:rPr>
        <w:t>sampling rate of 1200 Hz under voltage condition</w:t>
      </w:r>
      <w:bookmarkEnd w:id="30"/>
      <w:bookmarkStart w:id="31" w:name="_Hlk83140621"/>
      <w:r>
        <w:rPr>
          <w:rFonts w:ascii="Times New Roman" w:hAnsi="Times New Roman" w:eastAsia="Calibri" w:cs="Times New Roman"/>
          <w:lang w:eastAsia="en-GB"/>
        </w:rPr>
        <w:t xml:space="preserve"> </w:t>
      </w:r>
      <w:bookmarkEnd w:id="31"/>
      <w:bookmarkStart w:id="32" w:name="_Hlk83140622"/>
      <w:r>
        <w:rPr>
          <w:rFonts w:ascii="Times New Roman" w:hAnsi="Times New Roman" w:eastAsia="Calibri" w:cs="Times New Roman"/>
          <w:lang w:eastAsia="en-GB"/>
        </w:rPr>
        <w:t>1 (see  IEC 61850-90-1[28] for more details).</w:t>
      </w:r>
      <w:bookmarkEnd w:id="32"/>
      <w:bookmarkStart w:id="33"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3"/>
      <w:bookmarkStart w:id="34" w:name="_Hlk83140624"/>
      <w:r>
        <w:rPr>
          <w:rFonts w:ascii="Times New Roman" w:hAnsi="Times New Roman" w:eastAsia="Times New Roman" w:cs="Times New Roman"/>
          <w:lang w:eastAsia="en-GB"/>
        </w:rPr>
        <w:t>-</w:t>
      </w:r>
      <w:bookmarkEnd w:id="34"/>
      <w:bookmarkStart w:id="35" w:name="_Hlk83140625"/>
      <w:r>
        <w:rPr>
          <w:rFonts w:ascii="Times New Roman" w:hAnsi="Times New Roman" w:eastAsia="Times New Roman" w:cs="Times New Roman"/>
          <w:lang w:eastAsia="en-GB"/>
        </w:rPr>
        <w:t xml:space="preserve">speed current differential protection </w:t>
      </w:r>
      <w:bookmarkEnd w:id="35"/>
      <w:bookmarkStart w:id="36" w:name="_Hlk83140626"/>
      <w:r>
        <w:rPr>
          <w:rFonts w:ascii="Times New Roman" w:hAnsi="Times New Roman" w:eastAsia="Times New Roman" w:cs="Times New Roman"/>
          <w:lang w:eastAsia="en-GB"/>
        </w:rPr>
        <w:t xml:space="preserve">with </w:t>
      </w:r>
      <w:bookmarkEnd w:id="36"/>
      <w:bookmarkStart w:id="37" w:name="_Hlk83140627"/>
      <w:r>
        <w:rPr>
          <w:rFonts w:ascii="Times New Roman" w:hAnsi="Times New Roman" w:eastAsia="Times New Roman" w:cs="Times New Roman"/>
          <w:lang w:eastAsia="en-GB"/>
        </w:rPr>
        <w:t xml:space="preserve">a </w:t>
      </w:r>
      <w:bookmarkEnd w:id="37"/>
      <w:bookmarkStart w:id="38" w:name="_Hlk83140628"/>
      <w:r>
        <w:rPr>
          <w:rFonts w:ascii="Times New Roman" w:hAnsi="Times New Roman" w:eastAsia="Calibri" w:cs="Times New Roman"/>
          <w:lang w:eastAsia="en-GB"/>
        </w:rPr>
        <w:t>sampling rate of 600 Hz under voltage condition</w:t>
      </w:r>
      <w:bookmarkEnd w:id="38"/>
      <w:bookmarkStart w:id="39" w:name="_Hlk83140629"/>
      <w:r>
        <w:rPr>
          <w:rFonts w:ascii="Times New Roman" w:hAnsi="Times New Roman" w:eastAsia="Calibri" w:cs="Times New Roman"/>
          <w:lang w:eastAsia="en-GB"/>
        </w:rPr>
        <w:t xml:space="preserve"> </w:t>
      </w:r>
      <w:bookmarkEnd w:id="39"/>
      <w:bookmarkStart w:id="40" w:name="_Hlk83140630"/>
      <w:r>
        <w:rPr>
          <w:rFonts w:ascii="Times New Roman" w:hAnsi="Times New Roman" w:eastAsia="Calibri" w:cs="Times New Roman"/>
          <w:lang w:eastAsia="en-GB"/>
        </w:rPr>
        <w:t>1 (see  IEC 61850-90-1[28] for more details).</w:t>
      </w:r>
      <w:bookmarkEnd w:id="40"/>
      <w:bookmarkStart w:id="41"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41"/>
      <w:bookmarkStart w:id="42" w:name="_Hlk83140632"/>
      <w:r>
        <w:rPr>
          <w:rFonts w:ascii="Times New Roman" w:hAnsi="Times New Roman" w:eastAsia="Times New Roman" w:cs="Times New Roman"/>
          <w:lang w:eastAsia="en-GB"/>
        </w:rPr>
        <w:t>-</w:t>
      </w:r>
      <w:bookmarkEnd w:id="42"/>
      <w:bookmarkStart w:id="43" w:name="_Hlk83140633"/>
      <w:r>
        <w:rPr>
          <w:rFonts w:ascii="Times New Roman" w:hAnsi="Times New Roman" w:eastAsia="Times New Roman" w:cs="Times New Roman"/>
          <w:lang w:eastAsia="en-GB"/>
        </w:rPr>
        <w:t xml:space="preserve">speed current differential protection </w:t>
      </w:r>
      <w:bookmarkEnd w:id="43"/>
      <w:bookmarkStart w:id="44" w:name="_Hlk83140634"/>
      <w:r>
        <w:rPr>
          <w:rFonts w:ascii="Times New Roman" w:hAnsi="Times New Roman" w:eastAsia="Times New Roman" w:cs="Times New Roman"/>
          <w:lang w:eastAsia="en-GB"/>
        </w:rPr>
        <w:t xml:space="preserve">with </w:t>
      </w:r>
      <w:bookmarkEnd w:id="44"/>
      <w:bookmarkStart w:id="45" w:name="_Hlk83140635"/>
      <w:r>
        <w:rPr>
          <w:rFonts w:ascii="Times New Roman" w:hAnsi="Times New Roman" w:eastAsia="Times New Roman" w:cs="Times New Roman"/>
          <w:lang w:eastAsia="en-GB"/>
        </w:rPr>
        <w:t xml:space="preserve">a </w:t>
      </w:r>
      <w:bookmarkEnd w:id="45"/>
      <w:bookmarkStart w:id="46" w:name="_Hlk83140636"/>
      <w:r>
        <w:rPr>
          <w:rFonts w:ascii="Times New Roman" w:hAnsi="Times New Roman" w:eastAsia="Calibri" w:cs="Times New Roman"/>
          <w:lang w:eastAsia="en-GB"/>
        </w:rPr>
        <w:t>sampling rate of 1200 Hz under voltage condition</w:t>
      </w:r>
      <w:bookmarkEnd w:id="46"/>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7"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7"/>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for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do not support a granularity of per 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activation and deactivation of QoS monitoring with per packet granularity shall be supported to avoid network burden. Therefore, new requirements are needed to reflect these new demands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per packet QoS monitoring especially for applications consuming URLLC services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Activation and deactivation QoS monitoring to report on data packets not meeting the required QoS level.</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76"/>
        <w:numPr>
          <w:ilvl w:val="-1"/>
          <w:numId w:val="0"/>
        </w:numPr>
        <w:ind w:left="0" w:firstLine="0" w:firstLineChars="0"/>
        <w:rPr>
          <w:rFonts w:hint="default" w:eastAsia="宋体"/>
          <w:lang w:val="en-US" w:eastAsia="zh-CN"/>
        </w:rPr>
      </w:pPr>
      <w:r>
        <w:rPr>
          <w:rFonts w:hint="eastAsia" w:eastAsia="宋体"/>
          <w:lang w:val="en-US" w:eastAsia="zh-CN"/>
        </w:rPr>
        <w:t>Note: This work item applies only to direct network connection scenarios in non-public networks.</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SA#98</w:t>
            </w:r>
          </w:p>
          <w:p>
            <w:pPr>
              <w:spacing w:after="0"/>
              <w:rPr>
                <w:rFonts w:hint="default"/>
                <w:lang w:val="en-US" w:eastAsia="zh-CN"/>
              </w:rPr>
            </w:pPr>
            <w:r>
              <w:rPr>
                <w:rFonts w:hint="eastAsia"/>
                <w:lang w:val="en-US" w:eastAsia="zh-CN"/>
              </w:rPr>
              <w:t>(Dec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rFonts w:hint="eastAsia"/>
          <w:iCs/>
          <w:lang w:val="en-US" w:eastAsia="zh-CN"/>
        </w:rPr>
        <w:t>Yingjun Zhou</w:t>
      </w:r>
      <w:r>
        <w:rPr>
          <w:iCs/>
        </w:rPr>
        <w:t xml:space="preserve">, </w:t>
      </w:r>
      <w:r>
        <w:rPr>
          <w:rFonts w:hint="eastAsia"/>
          <w:iCs/>
          <w:lang w:val="en-US" w:eastAsia="zh-CN"/>
        </w:rPr>
        <w:t>ZTE Corporation</w:t>
      </w:r>
      <w:r>
        <w:rPr>
          <w:iCs/>
          <w:lang w:val="en-US" w:eastAsia="zh-CN"/>
        </w:rPr>
        <w:t>,</w:t>
      </w:r>
      <w:r>
        <w:rPr>
          <w:iCs/>
        </w:rPr>
        <w:t xml:space="preserve"> </w:t>
      </w:r>
      <w:r>
        <w:rPr>
          <w:rFonts w:hint="eastAsia"/>
          <w:iCs/>
          <w:lang w:val="en-US" w:eastAsia="zh-CN"/>
        </w:rPr>
        <w:t>zhou.yingjun@zte.com.cn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19B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03679E"/>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8E314B"/>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8EE6918"/>
    <w:rsid w:val="09417196"/>
    <w:rsid w:val="09496D6B"/>
    <w:rsid w:val="099F1CDF"/>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953F0E"/>
    <w:rsid w:val="0FF728F3"/>
    <w:rsid w:val="10070245"/>
    <w:rsid w:val="1017721D"/>
    <w:rsid w:val="1067337E"/>
    <w:rsid w:val="108E60B2"/>
    <w:rsid w:val="10940D64"/>
    <w:rsid w:val="10EE0E8A"/>
    <w:rsid w:val="11156E7B"/>
    <w:rsid w:val="1118066F"/>
    <w:rsid w:val="1159075F"/>
    <w:rsid w:val="117F152E"/>
    <w:rsid w:val="119321B4"/>
    <w:rsid w:val="119618A1"/>
    <w:rsid w:val="11A34CB2"/>
    <w:rsid w:val="11B029FC"/>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6FF2249"/>
    <w:rsid w:val="170328D4"/>
    <w:rsid w:val="17774A8B"/>
    <w:rsid w:val="17D70D29"/>
    <w:rsid w:val="18046811"/>
    <w:rsid w:val="18286C2A"/>
    <w:rsid w:val="18560446"/>
    <w:rsid w:val="186F6242"/>
    <w:rsid w:val="18716D70"/>
    <w:rsid w:val="18E074F6"/>
    <w:rsid w:val="194F1775"/>
    <w:rsid w:val="195B05DA"/>
    <w:rsid w:val="19624B4A"/>
    <w:rsid w:val="19780578"/>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054FC4"/>
    <w:rsid w:val="21AE38FE"/>
    <w:rsid w:val="21B0667C"/>
    <w:rsid w:val="221816C8"/>
    <w:rsid w:val="225A4685"/>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3F41E8"/>
    <w:rsid w:val="27655076"/>
    <w:rsid w:val="278B7C47"/>
    <w:rsid w:val="27981D7A"/>
    <w:rsid w:val="291E509C"/>
    <w:rsid w:val="296C1C0E"/>
    <w:rsid w:val="29AB11F3"/>
    <w:rsid w:val="29CD2624"/>
    <w:rsid w:val="29DD7ABC"/>
    <w:rsid w:val="2A1B3380"/>
    <w:rsid w:val="2A206CDA"/>
    <w:rsid w:val="2A2C5436"/>
    <w:rsid w:val="2A314EBE"/>
    <w:rsid w:val="2A914CBE"/>
    <w:rsid w:val="2B776B25"/>
    <w:rsid w:val="2B8C470F"/>
    <w:rsid w:val="2BE308DC"/>
    <w:rsid w:val="2C0368E2"/>
    <w:rsid w:val="2C83530D"/>
    <w:rsid w:val="2CBC3C32"/>
    <w:rsid w:val="2CD824C7"/>
    <w:rsid w:val="2D242E08"/>
    <w:rsid w:val="2D38739A"/>
    <w:rsid w:val="2D7847E6"/>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3A02A9B"/>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485B2B"/>
    <w:rsid w:val="3B62021D"/>
    <w:rsid w:val="3B666E3A"/>
    <w:rsid w:val="3B7244F4"/>
    <w:rsid w:val="3BCF684B"/>
    <w:rsid w:val="3C7164D5"/>
    <w:rsid w:val="3D014413"/>
    <w:rsid w:val="3D480676"/>
    <w:rsid w:val="3DA85139"/>
    <w:rsid w:val="3DE67241"/>
    <w:rsid w:val="3E56006E"/>
    <w:rsid w:val="3E5C2C87"/>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A767AB"/>
    <w:rsid w:val="43F83399"/>
    <w:rsid w:val="440044CE"/>
    <w:rsid w:val="44400E58"/>
    <w:rsid w:val="444407F3"/>
    <w:rsid w:val="448A7275"/>
    <w:rsid w:val="44C922B4"/>
    <w:rsid w:val="44DA1F04"/>
    <w:rsid w:val="452D2325"/>
    <w:rsid w:val="452E48AC"/>
    <w:rsid w:val="45D24126"/>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6D3607"/>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2D462F1"/>
    <w:rsid w:val="54312580"/>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7AF275E"/>
    <w:rsid w:val="57FF74A3"/>
    <w:rsid w:val="580A0E7D"/>
    <w:rsid w:val="58AE1E4F"/>
    <w:rsid w:val="59210383"/>
    <w:rsid w:val="59376B29"/>
    <w:rsid w:val="598F4A9D"/>
    <w:rsid w:val="5A0E74E5"/>
    <w:rsid w:val="5A406AF5"/>
    <w:rsid w:val="5A4B5120"/>
    <w:rsid w:val="5A53087D"/>
    <w:rsid w:val="5ABD3BB9"/>
    <w:rsid w:val="5AC36B34"/>
    <w:rsid w:val="5AC67707"/>
    <w:rsid w:val="5ADC4C5A"/>
    <w:rsid w:val="5AE52426"/>
    <w:rsid w:val="5B235C44"/>
    <w:rsid w:val="5B2C7375"/>
    <w:rsid w:val="5B41337E"/>
    <w:rsid w:val="5B5B3665"/>
    <w:rsid w:val="5BAF4C95"/>
    <w:rsid w:val="5C16596C"/>
    <w:rsid w:val="5C2832FE"/>
    <w:rsid w:val="5C5A26D8"/>
    <w:rsid w:val="5D0A2ED7"/>
    <w:rsid w:val="5D13438C"/>
    <w:rsid w:val="5D847A77"/>
    <w:rsid w:val="5DAC1F99"/>
    <w:rsid w:val="5E08083B"/>
    <w:rsid w:val="5E136EFB"/>
    <w:rsid w:val="5E42183C"/>
    <w:rsid w:val="5E7E0378"/>
    <w:rsid w:val="5E965639"/>
    <w:rsid w:val="5EB062DF"/>
    <w:rsid w:val="5F1515E3"/>
    <w:rsid w:val="5F7014A9"/>
    <w:rsid w:val="5FE86193"/>
    <w:rsid w:val="5FF40714"/>
    <w:rsid w:val="5FFC4EBC"/>
    <w:rsid w:val="601335DC"/>
    <w:rsid w:val="604E24DD"/>
    <w:rsid w:val="60934A2C"/>
    <w:rsid w:val="60BE24D7"/>
    <w:rsid w:val="60C25576"/>
    <w:rsid w:val="61563556"/>
    <w:rsid w:val="615720CC"/>
    <w:rsid w:val="615E6131"/>
    <w:rsid w:val="61777865"/>
    <w:rsid w:val="61C24476"/>
    <w:rsid w:val="61DE59A5"/>
    <w:rsid w:val="62064580"/>
    <w:rsid w:val="621D2403"/>
    <w:rsid w:val="62460E9E"/>
    <w:rsid w:val="62672CD6"/>
    <w:rsid w:val="63A73E74"/>
    <w:rsid w:val="63D032AF"/>
    <w:rsid w:val="640B5988"/>
    <w:rsid w:val="64F11119"/>
    <w:rsid w:val="650A334B"/>
    <w:rsid w:val="65435915"/>
    <w:rsid w:val="65A00244"/>
    <w:rsid w:val="65EF2F28"/>
    <w:rsid w:val="663217E8"/>
    <w:rsid w:val="6674645F"/>
    <w:rsid w:val="66AF34E2"/>
    <w:rsid w:val="66B369AC"/>
    <w:rsid w:val="66C1719E"/>
    <w:rsid w:val="66CB2F93"/>
    <w:rsid w:val="672A4944"/>
    <w:rsid w:val="67704F23"/>
    <w:rsid w:val="679433AC"/>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16D70EF"/>
    <w:rsid w:val="72056FDF"/>
    <w:rsid w:val="720855FA"/>
    <w:rsid w:val="72842772"/>
    <w:rsid w:val="72E1714C"/>
    <w:rsid w:val="730A002E"/>
    <w:rsid w:val="731E265B"/>
    <w:rsid w:val="733450C4"/>
    <w:rsid w:val="73422E85"/>
    <w:rsid w:val="738F0129"/>
    <w:rsid w:val="73910351"/>
    <w:rsid w:val="7395159B"/>
    <w:rsid w:val="73B07615"/>
    <w:rsid w:val="73E9766B"/>
    <w:rsid w:val="73F84F24"/>
    <w:rsid w:val="745235F4"/>
    <w:rsid w:val="746D5D29"/>
    <w:rsid w:val="74BF0796"/>
    <w:rsid w:val="754B118F"/>
    <w:rsid w:val="758533DE"/>
    <w:rsid w:val="75E03820"/>
    <w:rsid w:val="75FA7F1D"/>
    <w:rsid w:val="767054AA"/>
    <w:rsid w:val="76AA43DF"/>
    <w:rsid w:val="76B2162E"/>
    <w:rsid w:val="76D03490"/>
    <w:rsid w:val="76DB5E89"/>
    <w:rsid w:val="76DD026C"/>
    <w:rsid w:val="77007425"/>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21699F"/>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4</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2022-11-18T13:42:02Z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